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B20" w:rsidRPr="00E20222" w:rsidRDefault="002D2B20" w:rsidP="00E20222">
      <w:pPr>
        <w:pStyle w:val="Heading2"/>
        <w:spacing w:before="240" w:after="240" w:line="240" w:lineRule="auto"/>
        <w:rPr>
          <w:rFonts w:ascii="Arial" w:hAnsi="Arial"/>
          <w:b/>
          <w:color w:val="auto"/>
          <w:sz w:val="36"/>
          <w:lang w:eastAsia="en-AU"/>
        </w:rPr>
      </w:pPr>
      <w:r w:rsidRPr="00E20222">
        <w:rPr>
          <w:rFonts w:ascii="Arial" w:hAnsi="Arial"/>
          <w:b/>
          <w:color w:val="auto"/>
          <w:sz w:val="36"/>
          <w:lang w:eastAsia="en-AU"/>
        </w:rPr>
        <w:t xml:space="preserve">What </w:t>
      </w:r>
      <w:r w:rsidR="005B2B08" w:rsidRPr="00E20222">
        <w:rPr>
          <w:rFonts w:ascii="Arial" w:hAnsi="Arial"/>
          <w:b/>
          <w:color w:val="auto"/>
          <w:sz w:val="36"/>
          <w:lang w:eastAsia="en-AU"/>
        </w:rPr>
        <w:t xml:space="preserve">do </w:t>
      </w:r>
      <w:r w:rsidRPr="00E20222">
        <w:rPr>
          <w:rFonts w:ascii="Arial" w:hAnsi="Arial"/>
          <w:b/>
          <w:color w:val="auto"/>
          <w:sz w:val="36"/>
          <w:lang w:eastAsia="en-AU"/>
        </w:rPr>
        <w:t>I need to know about Royal Commissions</w:t>
      </w:r>
      <w:r w:rsidR="005B2B08" w:rsidRPr="00E20222">
        <w:rPr>
          <w:rFonts w:ascii="Arial" w:hAnsi="Arial"/>
          <w:b/>
          <w:color w:val="auto"/>
          <w:sz w:val="36"/>
          <w:lang w:eastAsia="en-AU"/>
        </w:rPr>
        <w:t>?</w:t>
      </w:r>
    </w:p>
    <w:p w:rsidR="002D2B20" w:rsidRPr="005B2B08" w:rsidRDefault="00D70522" w:rsidP="00ED7C20">
      <w:pPr>
        <w:pStyle w:val="NormalWeb"/>
        <w:numPr>
          <w:ilvl w:val="0"/>
          <w:numId w:val="7"/>
        </w:numPr>
        <w:spacing w:before="0" w:beforeAutospacing="0" w:after="270" w:afterAutospacing="0"/>
        <w:ind w:left="360"/>
        <w:textAlignment w:val="baseline"/>
        <w:rPr>
          <w:rFonts w:ascii="Arial" w:eastAsiaTheme="minorHAnsi" w:hAnsi="Arial" w:cs="Arial"/>
          <w:color w:val="000000"/>
          <w:lang w:eastAsia="en-US"/>
        </w:rPr>
      </w:pPr>
      <w:r>
        <w:rPr>
          <w:rFonts w:ascii="Arial" w:eastAsiaTheme="minorHAnsi" w:hAnsi="Arial" w:cs="Arial"/>
          <w:color w:val="000000"/>
          <w:lang w:eastAsia="en-US"/>
        </w:rPr>
        <w:t xml:space="preserve">A </w:t>
      </w:r>
      <w:r w:rsidR="007279A2">
        <w:rPr>
          <w:rFonts w:ascii="Arial" w:eastAsiaTheme="minorHAnsi" w:hAnsi="Arial" w:cs="Arial"/>
          <w:color w:val="000000"/>
          <w:lang w:eastAsia="en-US"/>
        </w:rPr>
        <w:t>Royal C</w:t>
      </w:r>
      <w:r w:rsidR="002D2B20" w:rsidRPr="005B2B08">
        <w:rPr>
          <w:rFonts w:ascii="Arial" w:eastAsiaTheme="minorHAnsi" w:hAnsi="Arial" w:cs="Arial"/>
          <w:color w:val="000000"/>
          <w:lang w:eastAsia="en-US"/>
        </w:rPr>
        <w:t>ommission</w:t>
      </w:r>
      <w:r>
        <w:rPr>
          <w:rFonts w:ascii="Arial" w:eastAsiaTheme="minorHAnsi" w:hAnsi="Arial" w:cs="Arial"/>
          <w:color w:val="000000"/>
          <w:lang w:eastAsia="en-US"/>
        </w:rPr>
        <w:t xml:space="preserve"> is a type of </w:t>
      </w:r>
      <w:r w:rsidR="002D2B20" w:rsidRPr="005B2B08">
        <w:rPr>
          <w:rFonts w:ascii="Arial" w:eastAsiaTheme="minorHAnsi" w:hAnsi="Arial" w:cs="Arial"/>
          <w:color w:val="000000"/>
          <w:lang w:eastAsia="en-US"/>
        </w:rPr>
        <w:t xml:space="preserve">public </w:t>
      </w:r>
      <w:r w:rsidRPr="005B2B08">
        <w:rPr>
          <w:rFonts w:ascii="Arial" w:eastAsiaTheme="minorHAnsi" w:hAnsi="Arial" w:cs="Arial"/>
          <w:color w:val="000000"/>
          <w:lang w:eastAsia="en-US"/>
        </w:rPr>
        <w:t>inquiry</w:t>
      </w:r>
      <w:r>
        <w:rPr>
          <w:rFonts w:ascii="Arial" w:eastAsiaTheme="minorHAnsi" w:hAnsi="Arial" w:cs="Arial"/>
          <w:color w:val="000000"/>
          <w:lang w:eastAsia="en-US"/>
        </w:rPr>
        <w:t xml:space="preserve">. Public inquiries </w:t>
      </w:r>
      <w:r w:rsidR="002D2B20" w:rsidRPr="005B2B08">
        <w:rPr>
          <w:rFonts w:ascii="Arial" w:eastAsiaTheme="minorHAnsi" w:hAnsi="Arial" w:cs="Arial"/>
          <w:color w:val="000000"/>
          <w:lang w:eastAsia="en-US"/>
        </w:rPr>
        <w:t>are temporary ad</w:t>
      </w:r>
      <w:r w:rsidR="005170FE">
        <w:rPr>
          <w:rFonts w:ascii="Arial" w:eastAsiaTheme="minorHAnsi" w:hAnsi="Arial" w:cs="Arial"/>
          <w:color w:val="000000"/>
          <w:lang w:eastAsia="en-US"/>
        </w:rPr>
        <w:t> </w:t>
      </w:r>
      <w:r w:rsidR="002D2B20" w:rsidRPr="005B2B08">
        <w:rPr>
          <w:rFonts w:ascii="Arial" w:eastAsiaTheme="minorHAnsi" w:hAnsi="Arial" w:cs="Arial"/>
          <w:color w:val="000000"/>
          <w:lang w:eastAsia="en-US"/>
        </w:rPr>
        <w:t>hoc bodies appointed by executive government to provide advice or to investigate some issue</w:t>
      </w:r>
      <w:r>
        <w:rPr>
          <w:rFonts w:ascii="Arial" w:eastAsiaTheme="minorHAnsi" w:hAnsi="Arial" w:cs="Arial"/>
          <w:color w:val="000000"/>
          <w:lang w:eastAsia="en-US"/>
        </w:rPr>
        <w:t>. M</w:t>
      </w:r>
      <w:r w:rsidR="002D2B20" w:rsidRPr="005B2B08">
        <w:rPr>
          <w:rFonts w:ascii="Arial" w:eastAsiaTheme="minorHAnsi" w:hAnsi="Arial" w:cs="Arial"/>
          <w:color w:val="000000"/>
          <w:lang w:eastAsia="en-US"/>
        </w:rPr>
        <w:t>embers are drawn from outside government; have public processes; seek community input and release their re</w:t>
      </w:r>
      <w:r w:rsidR="009B641B">
        <w:rPr>
          <w:rFonts w:ascii="Arial" w:eastAsiaTheme="minorHAnsi" w:hAnsi="Arial" w:cs="Arial"/>
          <w:color w:val="000000"/>
          <w:lang w:eastAsia="en-US"/>
        </w:rPr>
        <w:t xml:space="preserve">ports. </w:t>
      </w:r>
    </w:p>
    <w:p w:rsidR="002D2B20" w:rsidRPr="005B2B08" w:rsidRDefault="007279A2" w:rsidP="00ED7C20">
      <w:pPr>
        <w:pStyle w:val="NormalWeb"/>
        <w:numPr>
          <w:ilvl w:val="0"/>
          <w:numId w:val="7"/>
        </w:numPr>
        <w:spacing w:before="0" w:beforeAutospacing="0" w:after="270" w:afterAutospacing="0"/>
        <w:ind w:left="360"/>
        <w:textAlignment w:val="baseline"/>
        <w:rPr>
          <w:rFonts w:ascii="Arial" w:eastAsiaTheme="minorHAnsi" w:hAnsi="Arial" w:cs="Arial"/>
          <w:color w:val="000000"/>
          <w:lang w:eastAsia="en-US"/>
        </w:rPr>
      </w:pPr>
      <w:r>
        <w:rPr>
          <w:rFonts w:ascii="Arial" w:eastAsiaTheme="minorHAnsi" w:hAnsi="Arial" w:cs="Arial"/>
          <w:color w:val="000000"/>
          <w:lang w:eastAsia="en-US"/>
        </w:rPr>
        <w:t xml:space="preserve">The </w:t>
      </w:r>
      <w:r w:rsidR="002D2B20" w:rsidRPr="005B2B08">
        <w:rPr>
          <w:rFonts w:ascii="Arial" w:eastAsiaTheme="minorHAnsi" w:hAnsi="Arial" w:cs="Arial"/>
          <w:color w:val="000000"/>
          <w:lang w:eastAsia="en-US"/>
        </w:rPr>
        <w:t xml:space="preserve">legislation </w:t>
      </w:r>
      <w:r>
        <w:rPr>
          <w:rFonts w:ascii="Arial" w:eastAsiaTheme="minorHAnsi" w:hAnsi="Arial" w:cs="Arial"/>
          <w:color w:val="000000"/>
          <w:lang w:eastAsia="en-US"/>
        </w:rPr>
        <w:t xml:space="preserve">to establish a Royal Commission </w:t>
      </w:r>
      <w:r w:rsidR="00D70522">
        <w:rPr>
          <w:rFonts w:ascii="Arial" w:eastAsiaTheme="minorHAnsi" w:hAnsi="Arial" w:cs="Arial"/>
          <w:color w:val="000000"/>
          <w:lang w:eastAsia="en-US"/>
        </w:rPr>
        <w:t xml:space="preserve">gives the Commission </w:t>
      </w:r>
      <w:r w:rsidR="009B641B">
        <w:rPr>
          <w:rFonts w:ascii="Arial" w:eastAsiaTheme="minorHAnsi" w:hAnsi="Arial" w:cs="Arial"/>
          <w:color w:val="000000"/>
          <w:lang w:eastAsia="en-US"/>
        </w:rPr>
        <w:t>broad</w:t>
      </w:r>
      <w:r w:rsidR="002D2B20" w:rsidRPr="005B2B08">
        <w:rPr>
          <w:rFonts w:ascii="Arial" w:eastAsiaTheme="minorHAnsi" w:hAnsi="Arial" w:cs="Arial"/>
          <w:color w:val="000000"/>
          <w:lang w:eastAsia="en-US"/>
        </w:rPr>
        <w:t xml:space="preserve"> coercive powers of investigation</w:t>
      </w:r>
      <w:r>
        <w:rPr>
          <w:rFonts w:ascii="Arial" w:eastAsiaTheme="minorHAnsi" w:hAnsi="Arial" w:cs="Arial"/>
          <w:color w:val="000000"/>
          <w:lang w:eastAsia="en-US"/>
        </w:rPr>
        <w:t xml:space="preserve"> (e.g. ability</w:t>
      </w:r>
      <w:r w:rsidR="002D2B20" w:rsidRPr="005B2B08">
        <w:rPr>
          <w:rFonts w:ascii="Arial" w:eastAsiaTheme="minorHAnsi" w:hAnsi="Arial" w:cs="Arial"/>
          <w:color w:val="000000"/>
          <w:lang w:eastAsia="en-US"/>
        </w:rPr>
        <w:t xml:space="preserve"> to call and cross-examine witnesses, obtain evidence, rights of entry, phone-tapping) while also providing protection to witnesses and inquiry members from legal action such as defamation.</w:t>
      </w:r>
    </w:p>
    <w:p w:rsidR="002D2B20" w:rsidRPr="00E20222" w:rsidRDefault="002D2B20" w:rsidP="00E20222">
      <w:pPr>
        <w:pStyle w:val="Heading2"/>
        <w:spacing w:before="240" w:after="240" w:line="240" w:lineRule="auto"/>
        <w:rPr>
          <w:rFonts w:ascii="Arial" w:hAnsi="Arial"/>
          <w:b/>
          <w:color w:val="auto"/>
          <w:sz w:val="36"/>
          <w:lang w:eastAsia="en-AU"/>
        </w:rPr>
      </w:pPr>
      <w:r w:rsidRPr="00E20222">
        <w:rPr>
          <w:rFonts w:ascii="Arial" w:hAnsi="Arial"/>
          <w:b/>
          <w:color w:val="auto"/>
          <w:sz w:val="36"/>
          <w:lang w:eastAsia="en-AU"/>
        </w:rPr>
        <w:t xml:space="preserve">What </w:t>
      </w:r>
      <w:r w:rsidR="005B2B08" w:rsidRPr="00E20222">
        <w:rPr>
          <w:rFonts w:ascii="Arial" w:hAnsi="Arial"/>
          <w:b/>
          <w:color w:val="auto"/>
          <w:sz w:val="36"/>
          <w:lang w:eastAsia="en-AU"/>
        </w:rPr>
        <w:t>to</w:t>
      </w:r>
      <w:r w:rsidRPr="00E20222">
        <w:rPr>
          <w:rFonts w:ascii="Arial" w:hAnsi="Arial"/>
          <w:b/>
          <w:color w:val="auto"/>
          <w:sz w:val="36"/>
          <w:lang w:eastAsia="en-AU"/>
        </w:rPr>
        <w:t xml:space="preserve"> expect</w:t>
      </w:r>
      <w:r w:rsidR="005B2B08" w:rsidRPr="00E20222">
        <w:rPr>
          <w:rFonts w:ascii="Arial" w:hAnsi="Arial"/>
          <w:b/>
          <w:color w:val="auto"/>
          <w:sz w:val="36"/>
          <w:lang w:eastAsia="en-AU"/>
        </w:rPr>
        <w:t xml:space="preserve"> from the Royal Commission</w:t>
      </w:r>
      <w:r w:rsidR="00DA761D">
        <w:rPr>
          <w:rFonts w:ascii="Arial" w:hAnsi="Arial"/>
          <w:b/>
          <w:color w:val="auto"/>
          <w:sz w:val="36"/>
          <w:lang w:eastAsia="en-AU"/>
        </w:rPr>
        <w:t>?</w:t>
      </w:r>
    </w:p>
    <w:p w:rsidR="00F610AC" w:rsidRDefault="002D2B20" w:rsidP="00ED7C20">
      <w:pPr>
        <w:tabs>
          <w:tab w:val="left" w:pos="142"/>
        </w:tabs>
      </w:pPr>
      <w:r>
        <w:rPr>
          <w:rFonts w:ascii="Arial" w:hAnsi="Arial" w:cs="Arial"/>
          <w:color w:val="000000"/>
          <w:sz w:val="24"/>
          <w:szCs w:val="24"/>
        </w:rPr>
        <w:t xml:space="preserve">It’s important that NDS members have a good understanding of what to expect </w:t>
      </w:r>
      <w:r w:rsidR="007279A2">
        <w:rPr>
          <w:rFonts w:ascii="Arial" w:hAnsi="Arial" w:cs="Arial"/>
          <w:color w:val="000000"/>
          <w:sz w:val="24"/>
          <w:szCs w:val="24"/>
        </w:rPr>
        <w:t>of the</w:t>
      </w:r>
      <w:r w:rsidR="005B2B08">
        <w:rPr>
          <w:rFonts w:ascii="Arial" w:hAnsi="Arial" w:cs="Arial"/>
          <w:color w:val="000000"/>
          <w:sz w:val="24"/>
          <w:szCs w:val="24"/>
        </w:rPr>
        <w:t xml:space="preserve"> processes involved, </w:t>
      </w:r>
      <w:r>
        <w:rPr>
          <w:rFonts w:ascii="Arial" w:hAnsi="Arial" w:cs="Arial"/>
          <w:color w:val="000000"/>
          <w:sz w:val="24"/>
          <w:szCs w:val="24"/>
        </w:rPr>
        <w:t>in order to prepa</w:t>
      </w:r>
      <w:r w:rsidR="007279A2">
        <w:rPr>
          <w:rFonts w:ascii="Arial" w:hAnsi="Arial" w:cs="Arial"/>
          <w:color w:val="000000"/>
          <w:sz w:val="24"/>
          <w:szCs w:val="24"/>
        </w:rPr>
        <w:t>r</w:t>
      </w:r>
      <w:r w:rsidR="009B641B">
        <w:rPr>
          <w:rFonts w:ascii="Arial" w:hAnsi="Arial" w:cs="Arial"/>
          <w:color w:val="000000"/>
          <w:sz w:val="24"/>
          <w:szCs w:val="24"/>
        </w:rPr>
        <w:t xml:space="preserve">e </w:t>
      </w:r>
      <w:r w:rsidR="007279A2">
        <w:rPr>
          <w:rFonts w:ascii="Arial" w:hAnsi="Arial" w:cs="Arial"/>
          <w:color w:val="000000"/>
          <w:sz w:val="24"/>
          <w:szCs w:val="24"/>
        </w:rPr>
        <w:t>for the Royal Commission</w:t>
      </w:r>
      <w:r w:rsidR="005B2B08">
        <w:rPr>
          <w:rFonts w:ascii="Arial" w:hAnsi="Arial" w:cs="Arial"/>
          <w:color w:val="000000"/>
          <w:sz w:val="24"/>
          <w:szCs w:val="24"/>
        </w:rPr>
        <w:t>.</w:t>
      </w:r>
      <w:r w:rsidR="00F610AC" w:rsidRPr="00F610AC">
        <w:t xml:space="preserve"> </w:t>
      </w:r>
    </w:p>
    <w:p w:rsidR="003E7A0E" w:rsidRPr="00E20222" w:rsidRDefault="003E7A0E" w:rsidP="00E20222">
      <w:pPr>
        <w:pStyle w:val="Heading3"/>
        <w:spacing w:before="360" w:after="120" w:line="240" w:lineRule="auto"/>
        <w:rPr>
          <w:rFonts w:ascii="Arial" w:hAnsi="Arial" w:cs="Arial"/>
          <w:b/>
          <w:color w:val="497594"/>
        </w:rPr>
      </w:pPr>
      <w:r w:rsidRPr="00E20222">
        <w:rPr>
          <w:rFonts w:ascii="Arial" w:hAnsi="Arial" w:cs="Arial"/>
          <w:b/>
          <w:color w:val="497594"/>
        </w:rPr>
        <w:t xml:space="preserve">Inquisitorial Process </w:t>
      </w:r>
    </w:p>
    <w:p w:rsidR="003E7A0E" w:rsidRPr="00E20222" w:rsidRDefault="003E7A0E" w:rsidP="00E20222">
      <w:pPr>
        <w:pStyle w:val="NormalWeb"/>
        <w:numPr>
          <w:ilvl w:val="0"/>
          <w:numId w:val="7"/>
        </w:numPr>
        <w:spacing w:before="120" w:beforeAutospacing="0" w:after="120" w:afterAutospacing="0"/>
        <w:ind w:left="357" w:hanging="357"/>
        <w:textAlignment w:val="baseline"/>
        <w:rPr>
          <w:rFonts w:ascii="Arial" w:hAnsi="Arial" w:cs="Arial"/>
          <w:color w:val="000000"/>
        </w:rPr>
      </w:pPr>
      <w:r w:rsidRPr="00E20222">
        <w:rPr>
          <w:rFonts w:ascii="Arial" w:eastAsiaTheme="minorHAnsi" w:hAnsi="Arial" w:cs="Arial"/>
          <w:color w:val="000000"/>
          <w:lang w:eastAsia="en-US"/>
        </w:rPr>
        <w:t>Royal</w:t>
      </w:r>
      <w:r w:rsidRPr="00E20222">
        <w:rPr>
          <w:rFonts w:ascii="Arial" w:hAnsi="Arial" w:cs="Arial"/>
          <w:color w:val="000000"/>
        </w:rPr>
        <w:t xml:space="preserve"> Commission</w:t>
      </w:r>
      <w:r w:rsidR="009B641B" w:rsidRPr="00E20222">
        <w:rPr>
          <w:rFonts w:ascii="Arial" w:hAnsi="Arial" w:cs="Arial"/>
          <w:color w:val="000000"/>
        </w:rPr>
        <w:t>s have</w:t>
      </w:r>
      <w:r w:rsidRPr="00E20222">
        <w:rPr>
          <w:rFonts w:ascii="Arial" w:hAnsi="Arial" w:cs="Arial"/>
          <w:color w:val="000000"/>
        </w:rPr>
        <w:t xml:space="preserve"> ext</w:t>
      </w:r>
      <w:r w:rsidR="009B641B" w:rsidRPr="00E20222">
        <w:rPr>
          <w:rFonts w:ascii="Arial" w:hAnsi="Arial" w:cs="Arial"/>
          <w:color w:val="000000"/>
        </w:rPr>
        <w:t>ensive powers, including requiring</w:t>
      </w:r>
      <w:r w:rsidRPr="00E20222">
        <w:rPr>
          <w:rFonts w:ascii="Arial" w:hAnsi="Arial" w:cs="Arial"/>
          <w:color w:val="000000"/>
        </w:rPr>
        <w:t xml:space="preserve"> witnesses to give evidence in person and by statements, and to produce documents and information.</w:t>
      </w:r>
    </w:p>
    <w:p w:rsidR="003E7A0E" w:rsidRDefault="003E7A0E" w:rsidP="00E20222">
      <w:pPr>
        <w:pStyle w:val="NormalWeb"/>
        <w:numPr>
          <w:ilvl w:val="0"/>
          <w:numId w:val="7"/>
        </w:numPr>
        <w:spacing w:before="120" w:beforeAutospacing="0" w:after="120" w:afterAutospacing="0"/>
        <w:ind w:left="357" w:hanging="357"/>
        <w:textAlignment w:val="baseline"/>
        <w:rPr>
          <w:rFonts w:ascii="Arial" w:hAnsi="Arial" w:cs="Arial"/>
          <w:color w:val="000000"/>
        </w:rPr>
      </w:pPr>
      <w:r>
        <w:rPr>
          <w:rFonts w:ascii="Arial" w:hAnsi="Arial" w:cs="Arial"/>
          <w:color w:val="000000"/>
        </w:rPr>
        <w:t xml:space="preserve">Commissioners will direct the areas of investigation and have wide discretion </w:t>
      </w:r>
      <w:r w:rsidR="009B641B">
        <w:rPr>
          <w:rFonts w:ascii="Arial" w:hAnsi="Arial" w:cs="Arial"/>
          <w:color w:val="000000"/>
        </w:rPr>
        <w:t xml:space="preserve">but </w:t>
      </w:r>
      <w:r>
        <w:rPr>
          <w:rFonts w:ascii="Arial" w:hAnsi="Arial" w:cs="Arial"/>
          <w:color w:val="000000"/>
        </w:rPr>
        <w:t xml:space="preserve">within the terms of reference. </w:t>
      </w:r>
    </w:p>
    <w:p w:rsidR="003E7A0E" w:rsidRDefault="003E7A0E" w:rsidP="00E20222">
      <w:pPr>
        <w:pStyle w:val="NormalWeb"/>
        <w:numPr>
          <w:ilvl w:val="0"/>
          <w:numId w:val="7"/>
        </w:numPr>
        <w:spacing w:before="120" w:beforeAutospacing="0" w:after="120" w:afterAutospacing="0"/>
        <w:ind w:left="357" w:hanging="357"/>
        <w:textAlignment w:val="baseline"/>
        <w:rPr>
          <w:rFonts w:ascii="Arial" w:hAnsi="Arial" w:cs="Arial"/>
          <w:color w:val="000000"/>
        </w:rPr>
      </w:pPr>
      <w:r>
        <w:rPr>
          <w:rFonts w:ascii="Arial" w:hAnsi="Arial" w:cs="Arial"/>
          <w:color w:val="000000"/>
        </w:rPr>
        <w:t xml:space="preserve">Commissioners </w:t>
      </w:r>
      <w:r w:rsidR="009B641B">
        <w:rPr>
          <w:rFonts w:ascii="Arial" w:hAnsi="Arial" w:cs="Arial"/>
          <w:color w:val="000000"/>
        </w:rPr>
        <w:t>a</w:t>
      </w:r>
      <w:r>
        <w:rPr>
          <w:rFonts w:ascii="Arial" w:hAnsi="Arial" w:cs="Arial"/>
          <w:color w:val="000000"/>
        </w:rPr>
        <w:t>p</w:t>
      </w:r>
      <w:r w:rsidR="009B641B">
        <w:rPr>
          <w:rFonts w:ascii="Arial" w:hAnsi="Arial" w:cs="Arial"/>
          <w:color w:val="000000"/>
        </w:rPr>
        <w:t>p</w:t>
      </w:r>
      <w:r>
        <w:rPr>
          <w:rFonts w:ascii="Arial" w:hAnsi="Arial" w:cs="Arial"/>
          <w:color w:val="000000"/>
        </w:rPr>
        <w:t>oint Counsel Assisting</w:t>
      </w:r>
      <w:r w:rsidR="007279A2">
        <w:rPr>
          <w:rFonts w:ascii="Arial" w:hAnsi="Arial" w:cs="Arial"/>
          <w:color w:val="000000"/>
        </w:rPr>
        <w:t>, who will present the evidence</w:t>
      </w:r>
      <w:r>
        <w:rPr>
          <w:rFonts w:ascii="Arial" w:hAnsi="Arial" w:cs="Arial"/>
          <w:color w:val="000000"/>
        </w:rPr>
        <w:t xml:space="preserve"> and lead the cross-examination of witnesses on behalf of the Commission. </w:t>
      </w:r>
    </w:p>
    <w:p w:rsidR="003E7A0E" w:rsidRPr="00E20222" w:rsidRDefault="003E7A0E" w:rsidP="00E20222">
      <w:pPr>
        <w:pStyle w:val="Heading3"/>
        <w:spacing w:before="360" w:after="120" w:line="240" w:lineRule="auto"/>
        <w:rPr>
          <w:rFonts w:ascii="Arial" w:hAnsi="Arial" w:cs="Arial"/>
          <w:b/>
          <w:color w:val="497594"/>
        </w:rPr>
      </w:pPr>
      <w:r w:rsidRPr="00E20222">
        <w:rPr>
          <w:rFonts w:ascii="Arial" w:hAnsi="Arial" w:cs="Arial"/>
          <w:b/>
          <w:color w:val="497594"/>
        </w:rPr>
        <w:t xml:space="preserve">Documents and Information </w:t>
      </w:r>
    </w:p>
    <w:p w:rsidR="005B2B08" w:rsidRPr="009B641B" w:rsidRDefault="003E7A0E" w:rsidP="00E20222">
      <w:pPr>
        <w:pStyle w:val="NormalWeb"/>
        <w:numPr>
          <w:ilvl w:val="0"/>
          <w:numId w:val="7"/>
        </w:numPr>
        <w:spacing w:before="120" w:beforeAutospacing="0" w:after="120" w:afterAutospacing="0"/>
        <w:ind w:left="357" w:hanging="357"/>
        <w:textAlignment w:val="baseline"/>
        <w:rPr>
          <w:rFonts w:ascii="Arial" w:hAnsi="Arial" w:cs="Arial"/>
          <w:color w:val="000000"/>
        </w:rPr>
      </w:pPr>
      <w:r>
        <w:rPr>
          <w:rFonts w:ascii="Arial" w:hAnsi="Arial" w:cs="Arial"/>
          <w:color w:val="000000"/>
        </w:rPr>
        <w:t xml:space="preserve">Recent Royal Commissions have involved sector wide requests for </w:t>
      </w:r>
      <w:r w:rsidRPr="005B2B08">
        <w:rPr>
          <w:rFonts w:ascii="Arial" w:hAnsi="Arial" w:cs="Arial"/>
          <w:color w:val="000000"/>
          <w:u w:val="single"/>
        </w:rPr>
        <w:t>voluntary production of data and information</w:t>
      </w:r>
      <w:r>
        <w:rPr>
          <w:rFonts w:ascii="Arial" w:hAnsi="Arial" w:cs="Arial"/>
          <w:color w:val="000000"/>
        </w:rPr>
        <w:t xml:space="preserve"> from a wide range of </w:t>
      </w:r>
      <w:r w:rsidR="007279A2">
        <w:rPr>
          <w:rFonts w:ascii="Arial" w:hAnsi="Arial" w:cs="Arial"/>
          <w:color w:val="000000"/>
        </w:rPr>
        <w:t>providers</w:t>
      </w:r>
      <w:r w:rsidR="00D70522">
        <w:rPr>
          <w:rFonts w:ascii="Arial" w:hAnsi="Arial" w:cs="Arial"/>
          <w:color w:val="000000"/>
        </w:rPr>
        <w:t>. This is</w:t>
      </w:r>
      <w:r>
        <w:rPr>
          <w:rFonts w:ascii="Arial" w:hAnsi="Arial" w:cs="Arial"/>
          <w:color w:val="000000"/>
        </w:rPr>
        <w:t xml:space="preserve"> </w:t>
      </w:r>
      <w:r w:rsidRPr="005B2B08">
        <w:rPr>
          <w:rFonts w:ascii="Arial" w:hAnsi="Arial" w:cs="Arial"/>
          <w:color w:val="000000"/>
          <w:u w:val="single"/>
        </w:rPr>
        <w:t>followed by notices to compel production</w:t>
      </w:r>
      <w:r>
        <w:rPr>
          <w:rFonts w:ascii="Arial" w:hAnsi="Arial" w:cs="Arial"/>
          <w:color w:val="000000"/>
        </w:rPr>
        <w:t xml:space="preserve"> of that information </w:t>
      </w:r>
      <w:r w:rsidR="005B2B08">
        <w:rPr>
          <w:rFonts w:ascii="Arial" w:hAnsi="Arial" w:cs="Arial"/>
          <w:color w:val="000000"/>
        </w:rPr>
        <w:t xml:space="preserve">where </w:t>
      </w:r>
      <w:r w:rsidR="009B641B">
        <w:rPr>
          <w:rFonts w:ascii="Arial" w:hAnsi="Arial" w:cs="Arial"/>
          <w:color w:val="000000"/>
        </w:rPr>
        <w:t>providers</w:t>
      </w:r>
      <w:r w:rsidR="005B2B08">
        <w:rPr>
          <w:rFonts w:ascii="Arial" w:hAnsi="Arial" w:cs="Arial"/>
          <w:color w:val="000000"/>
        </w:rPr>
        <w:t xml:space="preserve"> refused to respond. </w:t>
      </w:r>
    </w:p>
    <w:p w:rsidR="005B2B08" w:rsidRDefault="005B2B08" w:rsidP="00E20222">
      <w:pPr>
        <w:pStyle w:val="NormalWeb"/>
        <w:numPr>
          <w:ilvl w:val="0"/>
          <w:numId w:val="7"/>
        </w:numPr>
        <w:spacing w:before="120" w:beforeAutospacing="0" w:after="120" w:afterAutospacing="0"/>
        <w:ind w:left="357" w:hanging="357"/>
        <w:textAlignment w:val="baseline"/>
        <w:rPr>
          <w:rFonts w:ascii="Arial" w:hAnsi="Arial" w:cs="Arial"/>
          <w:color w:val="000000"/>
        </w:rPr>
      </w:pPr>
      <w:r>
        <w:rPr>
          <w:rFonts w:ascii="Arial" w:hAnsi="Arial" w:cs="Arial"/>
          <w:color w:val="000000"/>
        </w:rPr>
        <w:t>Notices to produce documents issued by Royal Commissions tend to be very broad in scope</w:t>
      </w:r>
      <w:r w:rsidR="009B641B">
        <w:rPr>
          <w:rFonts w:ascii="Arial" w:hAnsi="Arial" w:cs="Arial"/>
          <w:color w:val="000000"/>
        </w:rPr>
        <w:t xml:space="preserve">. </w:t>
      </w:r>
      <w:r w:rsidR="007279A2">
        <w:rPr>
          <w:rFonts w:ascii="Arial" w:hAnsi="Arial" w:cs="Arial"/>
          <w:color w:val="000000"/>
        </w:rPr>
        <w:t xml:space="preserve">They </w:t>
      </w:r>
      <w:r>
        <w:rPr>
          <w:rFonts w:ascii="Arial" w:hAnsi="Arial" w:cs="Arial"/>
          <w:color w:val="000000"/>
        </w:rPr>
        <w:t xml:space="preserve">often </w:t>
      </w:r>
      <w:r w:rsidR="007279A2">
        <w:rPr>
          <w:rFonts w:ascii="Arial" w:hAnsi="Arial" w:cs="Arial"/>
          <w:color w:val="000000"/>
        </w:rPr>
        <w:t xml:space="preserve">have a </w:t>
      </w:r>
      <w:r>
        <w:rPr>
          <w:rFonts w:ascii="Arial" w:hAnsi="Arial" w:cs="Arial"/>
          <w:color w:val="000000"/>
        </w:rPr>
        <w:t xml:space="preserve">very short time frame. </w:t>
      </w:r>
    </w:p>
    <w:p w:rsidR="00727DFE" w:rsidRDefault="00727DFE" w:rsidP="00E20222">
      <w:pPr>
        <w:pStyle w:val="NormalWeb"/>
        <w:numPr>
          <w:ilvl w:val="0"/>
          <w:numId w:val="7"/>
        </w:numPr>
        <w:spacing w:before="120" w:beforeAutospacing="0" w:after="120" w:afterAutospacing="0"/>
        <w:ind w:left="357" w:hanging="357"/>
        <w:textAlignment w:val="baseline"/>
        <w:rPr>
          <w:rFonts w:ascii="Arial" w:hAnsi="Arial" w:cs="Arial"/>
          <w:color w:val="000000"/>
        </w:rPr>
      </w:pPr>
      <w:r>
        <w:rPr>
          <w:rFonts w:ascii="Arial" w:hAnsi="Arial" w:cs="Arial"/>
          <w:color w:val="000000"/>
        </w:rPr>
        <w:t>Members can rely on leg</w:t>
      </w:r>
      <w:r w:rsidR="00D70522">
        <w:rPr>
          <w:rFonts w:ascii="Arial" w:hAnsi="Arial" w:cs="Arial"/>
          <w:color w:val="000000"/>
        </w:rPr>
        <w:t xml:space="preserve">al professional privilege as a reasonable excuse </w:t>
      </w:r>
      <w:r>
        <w:rPr>
          <w:rFonts w:ascii="Arial" w:hAnsi="Arial" w:cs="Arial"/>
          <w:color w:val="000000"/>
        </w:rPr>
        <w:t xml:space="preserve">to refuse the production of documents, but only if the </w:t>
      </w:r>
      <w:r w:rsidR="009B641B">
        <w:rPr>
          <w:rFonts w:ascii="Arial" w:hAnsi="Arial" w:cs="Arial"/>
          <w:color w:val="000000"/>
        </w:rPr>
        <w:t xml:space="preserve">privilege </w:t>
      </w:r>
      <w:r>
        <w:rPr>
          <w:rFonts w:ascii="Arial" w:hAnsi="Arial" w:cs="Arial"/>
          <w:color w:val="000000"/>
        </w:rPr>
        <w:t xml:space="preserve">claim is made </w:t>
      </w:r>
      <w:r w:rsidR="009B641B">
        <w:rPr>
          <w:rFonts w:ascii="Arial" w:hAnsi="Arial" w:cs="Arial"/>
          <w:color w:val="000000"/>
        </w:rPr>
        <w:t>early</w:t>
      </w:r>
      <w:r>
        <w:rPr>
          <w:rFonts w:ascii="Arial" w:hAnsi="Arial" w:cs="Arial"/>
          <w:color w:val="000000"/>
        </w:rPr>
        <w:t xml:space="preserve">. The Commission is likely to issue a practice note </w:t>
      </w:r>
      <w:r w:rsidR="009B641B">
        <w:rPr>
          <w:rFonts w:ascii="Arial" w:hAnsi="Arial" w:cs="Arial"/>
          <w:color w:val="000000"/>
        </w:rPr>
        <w:t>explaining</w:t>
      </w:r>
      <w:r>
        <w:rPr>
          <w:rFonts w:ascii="Arial" w:hAnsi="Arial" w:cs="Arial"/>
          <w:color w:val="000000"/>
        </w:rPr>
        <w:t xml:space="preserve"> how it will deal with privilege claims. </w:t>
      </w:r>
    </w:p>
    <w:p w:rsidR="00727DFE" w:rsidRPr="00E20222" w:rsidRDefault="00727DFE" w:rsidP="00E20222">
      <w:pPr>
        <w:pStyle w:val="Heading3"/>
        <w:spacing w:before="360" w:after="120" w:line="240" w:lineRule="auto"/>
        <w:rPr>
          <w:rFonts w:ascii="Arial" w:hAnsi="Arial" w:cs="Arial"/>
          <w:b/>
          <w:color w:val="497594"/>
        </w:rPr>
      </w:pPr>
      <w:r w:rsidRPr="00E20222">
        <w:rPr>
          <w:rFonts w:ascii="Arial" w:hAnsi="Arial" w:cs="Arial"/>
          <w:b/>
          <w:color w:val="497594"/>
        </w:rPr>
        <w:lastRenderedPageBreak/>
        <w:t xml:space="preserve">Witnesses </w:t>
      </w:r>
    </w:p>
    <w:p w:rsidR="00727DFE" w:rsidRPr="00E20222" w:rsidRDefault="00727DFE" w:rsidP="00E20222">
      <w:pPr>
        <w:pStyle w:val="NormalWeb"/>
        <w:numPr>
          <w:ilvl w:val="0"/>
          <w:numId w:val="7"/>
        </w:numPr>
        <w:spacing w:before="120" w:beforeAutospacing="0" w:after="120" w:afterAutospacing="0"/>
        <w:ind w:left="357" w:hanging="357"/>
        <w:textAlignment w:val="baseline"/>
        <w:rPr>
          <w:rFonts w:ascii="Arial" w:hAnsi="Arial" w:cs="Arial"/>
          <w:color w:val="000000"/>
        </w:rPr>
      </w:pPr>
      <w:r w:rsidRPr="00E20222">
        <w:rPr>
          <w:rFonts w:ascii="Arial" w:hAnsi="Arial" w:cs="Arial"/>
          <w:color w:val="000000"/>
        </w:rPr>
        <w:t>The Royal Commission may initially invite cert</w:t>
      </w:r>
      <w:r w:rsidR="00C928D2" w:rsidRPr="00E20222">
        <w:rPr>
          <w:rFonts w:ascii="Arial" w:hAnsi="Arial" w:cs="Arial"/>
          <w:color w:val="000000"/>
        </w:rPr>
        <w:t>ain witnesses for interviews in</w:t>
      </w:r>
      <w:r w:rsidR="00E20222">
        <w:rPr>
          <w:rFonts w:ascii="Arial" w:hAnsi="Arial" w:cs="Arial"/>
          <w:color w:val="000000"/>
        </w:rPr>
        <w:t xml:space="preserve"> </w:t>
      </w:r>
      <w:r w:rsidRPr="00E20222">
        <w:rPr>
          <w:rFonts w:ascii="Arial" w:hAnsi="Arial" w:cs="Arial"/>
          <w:color w:val="000000"/>
        </w:rPr>
        <w:t>private sessions (</w:t>
      </w:r>
      <w:r w:rsidR="00DA761D">
        <w:rPr>
          <w:rFonts w:ascii="Arial" w:hAnsi="Arial" w:cs="Arial"/>
          <w:color w:val="000000"/>
        </w:rPr>
        <w:t>al</w:t>
      </w:r>
      <w:r w:rsidRPr="00E20222">
        <w:rPr>
          <w:rFonts w:ascii="Arial" w:hAnsi="Arial" w:cs="Arial"/>
          <w:color w:val="000000"/>
        </w:rPr>
        <w:t>though it cannot compel this).</w:t>
      </w:r>
    </w:p>
    <w:p w:rsidR="00727DFE" w:rsidRDefault="00727DFE" w:rsidP="00E20222">
      <w:pPr>
        <w:pStyle w:val="NormalWeb"/>
        <w:numPr>
          <w:ilvl w:val="0"/>
          <w:numId w:val="7"/>
        </w:numPr>
        <w:spacing w:before="120" w:beforeAutospacing="0" w:after="120" w:afterAutospacing="0"/>
        <w:ind w:left="357" w:hanging="357"/>
        <w:textAlignment w:val="baseline"/>
        <w:rPr>
          <w:rFonts w:ascii="Arial" w:hAnsi="Arial" w:cs="Arial"/>
          <w:color w:val="000000"/>
        </w:rPr>
      </w:pPr>
      <w:r w:rsidRPr="00727DFE">
        <w:rPr>
          <w:rFonts w:ascii="Arial" w:hAnsi="Arial" w:cs="Arial"/>
          <w:color w:val="000000"/>
        </w:rPr>
        <w:t xml:space="preserve">The Royal Commission may issue notices to potential witnesses </w:t>
      </w:r>
      <w:r w:rsidR="00DA761D">
        <w:rPr>
          <w:rFonts w:ascii="Arial" w:hAnsi="Arial" w:cs="Arial"/>
          <w:color w:val="000000"/>
        </w:rPr>
        <w:t>compelling</w:t>
      </w:r>
      <w:r w:rsidRPr="00727DFE">
        <w:rPr>
          <w:rFonts w:ascii="Arial" w:hAnsi="Arial" w:cs="Arial"/>
          <w:color w:val="000000"/>
        </w:rPr>
        <w:t xml:space="preserve"> them prepare a statement outlining their evidence. </w:t>
      </w:r>
      <w:r w:rsidR="009B641B">
        <w:rPr>
          <w:rFonts w:ascii="Arial" w:hAnsi="Arial" w:cs="Arial"/>
          <w:color w:val="000000"/>
        </w:rPr>
        <w:t xml:space="preserve">As a </w:t>
      </w:r>
      <w:r w:rsidR="00DA761D">
        <w:rPr>
          <w:rFonts w:ascii="Arial" w:hAnsi="Arial" w:cs="Arial"/>
          <w:color w:val="000000"/>
        </w:rPr>
        <w:t>witness</w:t>
      </w:r>
      <w:r w:rsidRPr="00727DFE">
        <w:rPr>
          <w:rFonts w:ascii="Arial" w:hAnsi="Arial" w:cs="Arial"/>
          <w:color w:val="000000"/>
        </w:rPr>
        <w:t xml:space="preserve"> </w:t>
      </w:r>
      <w:r w:rsidR="009B641B">
        <w:rPr>
          <w:rFonts w:ascii="Arial" w:hAnsi="Arial" w:cs="Arial"/>
          <w:color w:val="000000"/>
        </w:rPr>
        <w:t xml:space="preserve">you can </w:t>
      </w:r>
      <w:r w:rsidRPr="00727DFE">
        <w:rPr>
          <w:rFonts w:ascii="Arial" w:hAnsi="Arial" w:cs="Arial"/>
          <w:color w:val="000000"/>
        </w:rPr>
        <w:t xml:space="preserve">work with </w:t>
      </w:r>
      <w:r w:rsidR="009B641B">
        <w:rPr>
          <w:rFonts w:ascii="Arial" w:hAnsi="Arial" w:cs="Arial"/>
          <w:color w:val="000000"/>
        </w:rPr>
        <w:t>your own</w:t>
      </w:r>
      <w:r w:rsidRPr="00727DFE">
        <w:rPr>
          <w:rFonts w:ascii="Arial" w:hAnsi="Arial" w:cs="Arial"/>
          <w:color w:val="000000"/>
        </w:rPr>
        <w:t xml:space="preserve"> (or </w:t>
      </w:r>
      <w:r w:rsidR="009B641B">
        <w:rPr>
          <w:rFonts w:ascii="Arial" w:hAnsi="Arial" w:cs="Arial"/>
          <w:color w:val="000000"/>
        </w:rPr>
        <w:t>your</w:t>
      </w:r>
      <w:r w:rsidRPr="00727DFE">
        <w:rPr>
          <w:rFonts w:ascii="Arial" w:hAnsi="Arial" w:cs="Arial"/>
          <w:color w:val="000000"/>
        </w:rPr>
        <w:t xml:space="preserve"> organisation’s) la</w:t>
      </w:r>
      <w:r w:rsidR="009B641B">
        <w:rPr>
          <w:rFonts w:ascii="Arial" w:hAnsi="Arial" w:cs="Arial"/>
          <w:color w:val="000000"/>
        </w:rPr>
        <w:t>wyers and counsel to prepare this</w:t>
      </w:r>
      <w:r w:rsidRPr="00727DFE">
        <w:rPr>
          <w:rFonts w:ascii="Arial" w:hAnsi="Arial" w:cs="Arial"/>
          <w:color w:val="000000"/>
        </w:rPr>
        <w:t xml:space="preserve"> statement. </w:t>
      </w:r>
    </w:p>
    <w:p w:rsidR="00727DFE" w:rsidRDefault="00DC2839" w:rsidP="00E20222">
      <w:pPr>
        <w:pStyle w:val="NormalWeb"/>
        <w:numPr>
          <w:ilvl w:val="0"/>
          <w:numId w:val="7"/>
        </w:numPr>
        <w:spacing w:before="120" w:beforeAutospacing="0" w:after="120" w:afterAutospacing="0"/>
        <w:ind w:left="357" w:hanging="357"/>
        <w:textAlignment w:val="baseline"/>
        <w:rPr>
          <w:rFonts w:ascii="Arial" w:hAnsi="Arial" w:cs="Arial"/>
          <w:color w:val="000000"/>
        </w:rPr>
      </w:pPr>
      <w:r>
        <w:rPr>
          <w:rFonts w:ascii="Arial" w:hAnsi="Arial" w:cs="Arial"/>
          <w:color w:val="000000"/>
        </w:rPr>
        <w:t>If t</w:t>
      </w:r>
      <w:r w:rsidR="00727DFE">
        <w:rPr>
          <w:rFonts w:ascii="Arial" w:hAnsi="Arial" w:cs="Arial"/>
          <w:color w:val="000000"/>
        </w:rPr>
        <w:t xml:space="preserve">he Royal Commission requires witnesses to appear at a hearing, it will issue summonses to appear. </w:t>
      </w:r>
    </w:p>
    <w:p w:rsidR="00DC2839" w:rsidRPr="007279A2" w:rsidRDefault="007279A2" w:rsidP="00E20222">
      <w:pPr>
        <w:pStyle w:val="NormalWeb"/>
        <w:numPr>
          <w:ilvl w:val="0"/>
          <w:numId w:val="7"/>
        </w:numPr>
        <w:spacing w:before="120" w:beforeAutospacing="0" w:after="120" w:afterAutospacing="0"/>
        <w:ind w:left="357" w:hanging="357"/>
        <w:textAlignment w:val="baseline"/>
        <w:rPr>
          <w:rFonts w:ascii="Arial" w:hAnsi="Arial" w:cs="Arial"/>
          <w:color w:val="000000"/>
        </w:rPr>
      </w:pPr>
      <w:r>
        <w:rPr>
          <w:rFonts w:ascii="Arial" w:hAnsi="Arial" w:cs="Arial"/>
          <w:color w:val="000000"/>
        </w:rPr>
        <w:t>The witness</w:t>
      </w:r>
      <w:r w:rsidR="00DC2839">
        <w:rPr>
          <w:rFonts w:ascii="Arial" w:hAnsi="Arial" w:cs="Arial"/>
          <w:color w:val="000000"/>
        </w:rPr>
        <w:t xml:space="preserve"> statement is usually </w:t>
      </w:r>
      <w:r w:rsidR="009B641B">
        <w:rPr>
          <w:rFonts w:ascii="Arial" w:hAnsi="Arial" w:cs="Arial"/>
          <w:color w:val="000000"/>
        </w:rPr>
        <w:t>submitted</w:t>
      </w:r>
      <w:r w:rsidR="00DC2839">
        <w:rPr>
          <w:rFonts w:ascii="Arial" w:hAnsi="Arial" w:cs="Arial"/>
          <w:color w:val="000000"/>
        </w:rPr>
        <w:t xml:space="preserve"> and the</w:t>
      </w:r>
      <w:r w:rsidR="009B641B">
        <w:rPr>
          <w:rFonts w:ascii="Arial" w:hAnsi="Arial" w:cs="Arial"/>
          <w:color w:val="000000"/>
        </w:rPr>
        <w:t>n</w:t>
      </w:r>
      <w:r w:rsidR="00DC2839">
        <w:rPr>
          <w:rFonts w:ascii="Arial" w:hAnsi="Arial" w:cs="Arial"/>
          <w:color w:val="000000"/>
        </w:rPr>
        <w:t xml:space="preserve"> </w:t>
      </w:r>
      <w:r w:rsidR="009B641B">
        <w:rPr>
          <w:rFonts w:ascii="Arial" w:hAnsi="Arial" w:cs="Arial"/>
          <w:color w:val="000000"/>
        </w:rPr>
        <w:t xml:space="preserve">as a </w:t>
      </w:r>
      <w:r w:rsidR="00DC2839">
        <w:rPr>
          <w:rFonts w:ascii="Arial" w:hAnsi="Arial" w:cs="Arial"/>
          <w:color w:val="000000"/>
        </w:rPr>
        <w:t xml:space="preserve">witness </w:t>
      </w:r>
      <w:r w:rsidR="009B641B">
        <w:rPr>
          <w:rFonts w:ascii="Arial" w:hAnsi="Arial" w:cs="Arial"/>
          <w:color w:val="000000"/>
        </w:rPr>
        <w:t xml:space="preserve">you are </w:t>
      </w:r>
      <w:r w:rsidR="00DC2839">
        <w:rPr>
          <w:rFonts w:ascii="Arial" w:hAnsi="Arial" w:cs="Arial"/>
          <w:color w:val="000000"/>
        </w:rPr>
        <w:t>examined by Counsel Assisting, and then cross-examined</w:t>
      </w:r>
      <w:r>
        <w:rPr>
          <w:rFonts w:ascii="Arial" w:hAnsi="Arial" w:cs="Arial"/>
          <w:color w:val="000000"/>
        </w:rPr>
        <w:t xml:space="preserve"> by </w:t>
      </w:r>
      <w:r w:rsidR="009B641B">
        <w:rPr>
          <w:rFonts w:ascii="Arial" w:hAnsi="Arial" w:cs="Arial"/>
          <w:color w:val="000000"/>
        </w:rPr>
        <w:t xml:space="preserve">other </w:t>
      </w:r>
      <w:r>
        <w:rPr>
          <w:rFonts w:ascii="Arial" w:hAnsi="Arial" w:cs="Arial"/>
          <w:color w:val="000000"/>
        </w:rPr>
        <w:t xml:space="preserve">parties </w:t>
      </w:r>
      <w:r w:rsidR="009B641B">
        <w:rPr>
          <w:rFonts w:ascii="Arial" w:hAnsi="Arial" w:cs="Arial"/>
          <w:color w:val="000000"/>
        </w:rPr>
        <w:t>authorised</w:t>
      </w:r>
      <w:r>
        <w:rPr>
          <w:rFonts w:ascii="Arial" w:hAnsi="Arial" w:cs="Arial"/>
          <w:color w:val="000000"/>
        </w:rPr>
        <w:t xml:space="preserve"> to do so. </w:t>
      </w:r>
    </w:p>
    <w:p w:rsidR="00386921" w:rsidRPr="00E20222" w:rsidRDefault="00DC2839" w:rsidP="00ED7C20">
      <w:pPr>
        <w:pStyle w:val="NormalWeb"/>
        <w:numPr>
          <w:ilvl w:val="0"/>
          <w:numId w:val="7"/>
        </w:numPr>
        <w:spacing w:before="120" w:beforeAutospacing="0" w:after="120" w:afterAutospacing="0"/>
        <w:ind w:left="357" w:hanging="357"/>
        <w:textAlignment w:val="baseline"/>
        <w:rPr>
          <w:rFonts w:ascii="Arial" w:hAnsi="Arial" w:cs="Arial"/>
          <w:color w:val="000000"/>
        </w:rPr>
      </w:pPr>
      <w:r>
        <w:rPr>
          <w:rFonts w:ascii="Arial" w:hAnsi="Arial" w:cs="Arial"/>
          <w:color w:val="000000"/>
        </w:rPr>
        <w:t xml:space="preserve">Evidence given by a witness </w:t>
      </w:r>
      <w:r w:rsidR="00386921">
        <w:rPr>
          <w:rFonts w:ascii="Arial" w:hAnsi="Arial" w:cs="Arial"/>
          <w:color w:val="000000"/>
        </w:rPr>
        <w:t xml:space="preserve">may not be used in criminal or civil proceedings against the witness but </w:t>
      </w:r>
      <w:r w:rsidR="009B641B">
        <w:rPr>
          <w:rFonts w:ascii="Arial" w:hAnsi="Arial" w:cs="Arial"/>
          <w:color w:val="000000"/>
        </w:rPr>
        <w:t>it can be used</w:t>
      </w:r>
      <w:r w:rsidR="00386921">
        <w:rPr>
          <w:rFonts w:ascii="Arial" w:hAnsi="Arial" w:cs="Arial"/>
          <w:color w:val="000000"/>
        </w:rPr>
        <w:t xml:space="preserve"> more broadly (</w:t>
      </w:r>
      <w:r w:rsidR="009B641B">
        <w:rPr>
          <w:rFonts w:ascii="Arial" w:hAnsi="Arial" w:cs="Arial"/>
          <w:color w:val="000000"/>
        </w:rPr>
        <w:t>e.g.</w:t>
      </w:r>
      <w:r w:rsidR="00386921">
        <w:rPr>
          <w:rFonts w:ascii="Arial" w:hAnsi="Arial" w:cs="Arial"/>
          <w:color w:val="000000"/>
        </w:rPr>
        <w:t xml:space="preserve"> against an organisation). </w:t>
      </w:r>
    </w:p>
    <w:p w:rsidR="00386921" w:rsidRPr="00E20222" w:rsidRDefault="00386921" w:rsidP="00E20222">
      <w:pPr>
        <w:pStyle w:val="Heading3"/>
        <w:spacing w:before="360" w:after="120" w:line="240" w:lineRule="auto"/>
        <w:rPr>
          <w:rFonts w:ascii="Arial" w:hAnsi="Arial" w:cs="Arial"/>
          <w:b/>
          <w:color w:val="497594"/>
        </w:rPr>
      </w:pPr>
      <w:r w:rsidRPr="00E20222">
        <w:rPr>
          <w:rFonts w:ascii="Arial" w:hAnsi="Arial" w:cs="Arial"/>
          <w:b/>
          <w:color w:val="497594"/>
        </w:rPr>
        <w:t xml:space="preserve">Findings </w:t>
      </w:r>
    </w:p>
    <w:p w:rsidR="00DC2839" w:rsidRDefault="00386921" w:rsidP="00E20222">
      <w:pPr>
        <w:pStyle w:val="NormalWeb"/>
        <w:numPr>
          <w:ilvl w:val="0"/>
          <w:numId w:val="7"/>
        </w:numPr>
        <w:spacing w:before="120" w:beforeAutospacing="0" w:after="120" w:afterAutospacing="0"/>
        <w:ind w:left="357" w:hanging="357"/>
        <w:textAlignment w:val="baseline"/>
        <w:rPr>
          <w:rFonts w:ascii="Arial" w:hAnsi="Arial" w:cs="Arial"/>
          <w:color w:val="000000"/>
        </w:rPr>
      </w:pPr>
      <w:r>
        <w:rPr>
          <w:rFonts w:ascii="Arial" w:hAnsi="Arial" w:cs="Arial"/>
          <w:color w:val="000000"/>
        </w:rPr>
        <w:t xml:space="preserve">After evidence is completed, Counsel Assisting </w:t>
      </w:r>
      <w:r w:rsidR="007279A2">
        <w:rPr>
          <w:rFonts w:ascii="Arial" w:hAnsi="Arial" w:cs="Arial"/>
          <w:color w:val="000000"/>
        </w:rPr>
        <w:t>m</w:t>
      </w:r>
      <w:r>
        <w:rPr>
          <w:rFonts w:ascii="Arial" w:hAnsi="Arial" w:cs="Arial"/>
          <w:color w:val="000000"/>
        </w:rPr>
        <w:t>ake</w:t>
      </w:r>
      <w:r w:rsidR="007279A2">
        <w:rPr>
          <w:rFonts w:ascii="Arial" w:hAnsi="Arial" w:cs="Arial"/>
          <w:color w:val="000000"/>
        </w:rPr>
        <w:t>s</w:t>
      </w:r>
      <w:r>
        <w:rPr>
          <w:rFonts w:ascii="Arial" w:hAnsi="Arial" w:cs="Arial"/>
          <w:color w:val="000000"/>
        </w:rPr>
        <w:t xml:space="preserve"> submissions on the findings </w:t>
      </w:r>
      <w:r w:rsidR="007279A2">
        <w:rPr>
          <w:rFonts w:ascii="Arial" w:hAnsi="Arial" w:cs="Arial"/>
          <w:color w:val="000000"/>
        </w:rPr>
        <w:t xml:space="preserve">to be considered </w:t>
      </w:r>
      <w:r>
        <w:rPr>
          <w:rFonts w:ascii="Arial" w:hAnsi="Arial" w:cs="Arial"/>
          <w:color w:val="000000"/>
        </w:rPr>
        <w:t xml:space="preserve">by the Commission. </w:t>
      </w:r>
    </w:p>
    <w:p w:rsidR="00386921" w:rsidRDefault="00386921" w:rsidP="00E20222">
      <w:pPr>
        <w:pStyle w:val="NormalWeb"/>
        <w:numPr>
          <w:ilvl w:val="0"/>
          <w:numId w:val="7"/>
        </w:numPr>
        <w:spacing w:before="120" w:beforeAutospacing="0" w:after="120" w:afterAutospacing="0"/>
        <w:ind w:left="357" w:hanging="357"/>
        <w:textAlignment w:val="baseline"/>
        <w:rPr>
          <w:rFonts w:ascii="Arial" w:hAnsi="Arial" w:cs="Arial"/>
          <w:color w:val="000000"/>
        </w:rPr>
      </w:pPr>
      <w:r>
        <w:rPr>
          <w:rFonts w:ascii="Arial" w:hAnsi="Arial" w:cs="Arial"/>
          <w:color w:val="000000"/>
        </w:rPr>
        <w:t xml:space="preserve">Each party </w:t>
      </w:r>
      <w:r w:rsidR="007279A2">
        <w:rPr>
          <w:rFonts w:ascii="Arial" w:hAnsi="Arial" w:cs="Arial"/>
          <w:color w:val="000000"/>
        </w:rPr>
        <w:t xml:space="preserve">who appears at the Royal Commission </w:t>
      </w:r>
      <w:r>
        <w:rPr>
          <w:rFonts w:ascii="Arial" w:hAnsi="Arial" w:cs="Arial"/>
          <w:color w:val="000000"/>
        </w:rPr>
        <w:t xml:space="preserve">may </w:t>
      </w:r>
      <w:r w:rsidR="007279A2">
        <w:rPr>
          <w:rFonts w:ascii="Arial" w:hAnsi="Arial" w:cs="Arial"/>
          <w:color w:val="000000"/>
        </w:rPr>
        <w:t xml:space="preserve">also </w:t>
      </w:r>
      <w:r>
        <w:rPr>
          <w:rFonts w:ascii="Arial" w:hAnsi="Arial" w:cs="Arial"/>
          <w:color w:val="000000"/>
        </w:rPr>
        <w:t xml:space="preserve">make any submissions in response </w:t>
      </w:r>
      <w:r w:rsidR="00D70522">
        <w:rPr>
          <w:rFonts w:ascii="Arial" w:hAnsi="Arial" w:cs="Arial"/>
          <w:color w:val="000000"/>
        </w:rPr>
        <w:t xml:space="preserve">to the findings as part of </w:t>
      </w:r>
      <w:r>
        <w:rPr>
          <w:rFonts w:ascii="Arial" w:hAnsi="Arial" w:cs="Arial"/>
          <w:color w:val="000000"/>
        </w:rPr>
        <w:t xml:space="preserve">submissions in reply. </w:t>
      </w:r>
    </w:p>
    <w:p w:rsidR="00DF75C4" w:rsidRPr="00FD5D95" w:rsidRDefault="00386921" w:rsidP="00E20222">
      <w:pPr>
        <w:pStyle w:val="NormalWeb"/>
        <w:numPr>
          <w:ilvl w:val="0"/>
          <w:numId w:val="7"/>
        </w:numPr>
        <w:spacing w:before="120" w:beforeAutospacing="0" w:after="120" w:afterAutospacing="0"/>
        <w:ind w:left="357" w:hanging="357"/>
        <w:textAlignment w:val="baseline"/>
        <w:rPr>
          <w:rFonts w:ascii="Arial" w:hAnsi="Arial" w:cs="Arial"/>
          <w:b/>
          <w:color w:val="000000"/>
        </w:rPr>
      </w:pPr>
      <w:r w:rsidRPr="009B641B">
        <w:rPr>
          <w:rFonts w:ascii="Arial" w:hAnsi="Arial" w:cs="Arial"/>
          <w:color w:val="000000"/>
        </w:rPr>
        <w:t xml:space="preserve">The Royal Commission </w:t>
      </w:r>
      <w:r w:rsidR="007279A2" w:rsidRPr="009B641B">
        <w:rPr>
          <w:rFonts w:ascii="Arial" w:hAnsi="Arial" w:cs="Arial"/>
          <w:color w:val="000000"/>
        </w:rPr>
        <w:t>will then publish its findings that</w:t>
      </w:r>
      <w:r w:rsidRPr="009B641B">
        <w:rPr>
          <w:rFonts w:ascii="Arial" w:hAnsi="Arial" w:cs="Arial"/>
          <w:color w:val="000000"/>
        </w:rPr>
        <w:t xml:space="preserve"> are delivered to the Government and made public</w:t>
      </w:r>
      <w:r w:rsidR="009B641B">
        <w:rPr>
          <w:rFonts w:ascii="Arial" w:hAnsi="Arial" w:cs="Arial"/>
          <w:color w:val="000000"/>
        </w:rPr>
        <w:t>,</w:t>
      </w:r>
      <w:r w:rsidRPr="009B641B">
        <w:rPr>
          <w:rFonts w:ascii="Arial" w:hAnsi="Arial" w:cs="Arial"/>
          <w:color w:val="000000"/>
        </w:rPr>
        <w:t xml:space="preserve"> once they are tabled in Parliament. </w:t>
      </w:r>
    </w:p>
    <w:p w:rsidR="00FD5D95" w:rsidRPr="00E20222" w:rsidRDefault="00FD5D95" w:rsidP="00E20222">
      <w:pPr>
        <w:pStyle w:val="Heading3"/>
        <w:spacing w:before="360" w:after="120" w:line="240" w:lineRule="auto"/>
        <w:rPr>
          <w:rFonts w:ascii="Arial" w:hAnsi="Arial" w:cs="Arial"/>
          <w:b/>
          <w:color w:val="497594"/>
        </w:rPr>
      </w:pPr>
      <w:r w:rsidRPr="00E20222">
        <w:rPr>
          <w:rFonts w:ascii="Arial" w:hAnsi="Arial" w:cs="Arial"/>
          <w:b/>
          <w:color w:val="497594"/>
        </w:rPr>
        <w:t>Free legal helpline</w:t>
      </w:r>
    </w:p>
    <w:p w:rsidR="00FD5D95" w:rsidRDefault="00FD5D95" w:rsidP="00ED7C20">
      <w:pPr>
        <w:rPr>
          <w:rFonts w:ascii="Arial" w:hAnsi="Arial" w:cs="Arial"/>
          <w:color w:val="000000"/>
          <w:sz w:val="24"/>
          <w:szCs w:val="24"/>
        </w:rPr>
      </w:pPr>
      <w:r>
        <w:rPr>
          <w:rFonts w:ascii="Arial" w:hAnsi="Arial" w:cs="Arial"/>
          <w:color w:val="000000"/>
          <w:sz w:val="24"/>
          <w:szCs w:val="24"/>
        </w:rPr>
        <w:t>Facilitated by Holman Webb Lawyers, the national helpline allows NDS Organisational Members a free over-the-phone 15-minute initial consultation on any business-related issue. Holman Webb Lawyers will respond to queries within 24 hours (where possible). The helpline op</w:t>
      </w:r>
      <w:r w:rsidR="000C5B0B">
        <w:rPr>
          <w:rFonts w:ascii="Arial" w:hAnsi="Arial" w:cs="Arial"/>
          <w:color w:val="000000"/>
          <w:sz w:val="24"/>
          <w:szCs w:val="24"/>
        </w:rPr>
        <w:t>erates during business hours (8:</w:t>
      </w:r>
      <w:r>
        <w:rPr>
          <w:rFonts w:ascii="Arial" w:hAnsi="Arial" w:cs="Arial"/>
          <w:color w:val="000000"/>
          <w:sz w:val="24"/>
          <w:szCs w:val="24"/>
        </w:rPr>
        <w:t>30am-6</w:t>
      </w:r>
      <w:r w:rsidR="000C5B0B">
        <w:rPr>
          <w:rFonts w:ascii="Arial" w:hAnsi="Arial" w:cs="Arial"/>
          <w:color w:val="000000"/>
          <w:sz w:val="24"/>
          <w:szCs w:val="24"/>
        </w:rPr>
        <w:t>:00</w:t>
      </w:r>
      <w:r>
        <w:rPr>
          <w:rFonts w:ascii="Arial" w:hAnsi="Arial" w:cs="Arial"/>
          <w:color w:val="000000"/>
          <w:sz w:val="24"/>
          <w:szCs w:val="24"/>
        </w:rPr>
        <w:t xml:space="preserve">pm, Australian Eastern Time). </w:t>
      </w:r>
    </w:p>
    <w:p w:rsidR="00E20222" w:rsidRPr="00E20222" w:rsidRDefault="00E20222" w:rsidP="00E20222">
      <w:pPr>
        <w:pStyle w:val="Heading3"/>
        <w:spacing w:before="360" w:after="120" w:line="240" w:lineRule="auto"/>
        <w:rPr>
          <w:rFonts w:ascii="Arial" w:hAnsi="Arial" w:cs="Arial"/>
          <w:b/>
          <w:color w:val="497594"/>
        </w:rPr>
      </w:pPr>
      <w:r>
        <w:rPr>
          <w:rFonts w:ascii="Arial" w:hAnsi="Arial" w:cs="Arial"/>
          <w:b/>
          <w:color w:val="497594"/>
        </w:rPr>
        <w:t>For more information:</w:t>
      </w:r>
    </w:p>
    <w:p w:rsidR="006E5D87" w:rsidRDefault="00FD5D95" w:rsidP="000C5B0B">
      <w:pPr>
        <w:rPr>
          <w:rFonts w:ascii="Arial" w:hAnsi="Arial" w:cs="Arial"/>
          <w:b/>
          <w:color w:val="000000"/>
          <w:sz w:val="24"/>
          <w:szCs w:val="24"/>
        </w:rPr>
      </w:pPr>
      <w:r>
        <w:rPr>
          <w:rFonts w:ascii="Arial" w:hAnsi="Arial" w:cs="Arial"/>
          <w:color w:val="000000"/>
          <w:sz w:val="24"/>
          <w:szCs w:val="24"/>
        </w:rPr>
        <w:t xml:space="preserve">Contact the NDS Membership Team for further information: </w:t>
      </w:r>
      <w:hyperlink r:id="rId8" w:history="1">
        <w:r>
          <w:rPr>
            <w:rStyle w:val="Hyperlink"/>
            <w:rFonts w:ascii="Arial" w:hAnsi="Arial" w:cs="Arial"/>
            <w:sz w:val="24"/>
            <w:szCs w:val="24"/>
          </w:rPr>
          <w:t>membership@nds.org.au</w:t>
        </w:r>
      </w:hyperlink>
      <w:r>
        <w:rPr>
          <w:rFonts w:ascii="Arial" w:hAnsi="Arial" w:cs="Arial"/>
          <w:color w:val="000000"/>
          <w:sz w:val="24"/>
          <w:szCs w:val="24"/>
        </w:rPr>
        <w:t xml:space="preserve"> or 02 6283 3205.</w:t>
      </w:r>
    </w:p>
    <w:p w:rsidR="006216BA" w:rsidRPr="000C5B0B" w:rsidRDefault="001D3142" w:rsidP="00D516A0">
      <w:pPr>
        <w:rPr>
          <w:rFonts w:ascii="Arial" w:hAnsi="Arial" w:cs="Arial"/>
          <w:b/>
          <w:sz w:val="24"/>
          <w:szCs w:val="24"/>
        </w:rPr>
      </w:pPr>
      <w:r w:rsidRPr="000C5B0B">
        <w:rPr>
          <w:rFonts w:ascii="Arial" w:hAnsi="Arial" w:cs="Arial"/>
          <w:sz w:val="24"/>
          <w:szCs w:val="24"/>
          <w:shd w:val="clear" w:color="auto" w:fill="FFFFFF"/>
        </w:rPr>
        <w:t>This information is provided as general information to members only.  It does not take the place of formal legal advice and any member with concerns about any issue arising out of or related to the Royal Commission is encouraged to seek their own independent legal advice.</w:t>
      </w:r>
    </w:p>
    <w:sectPr w:rsidR="006216BA" w:rsidRPr="000C5B0B" w:rsidSect="00AE3D48">
      <w:headerReference w:type="even" r:id="rId9"/>
      <w:headerReference w:type="default" r:id="rId10"/>
      <w:footerReference w:type="even" r:id="rId11"/>
      <w:footerReference w:type="default" r:id="rId12"/>
      <w:headerReference w:type="first" r:id="rId13"/>
      <w:footerReference w:type="first" r:id="rId14"/>
      <w:pgSz w:w="11906" w:h="16838"/>
      <w:pgMar w:top="2920" w:right="1418" w:bottom="1276" w:left="1418" w:header="0" w:footer="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D87" w:rsidRDefault="006E5D87" w:rsidP="002E3A31">
      <w:pPr>
        <w:spacing w:after="0" w:line="240" w:lineRule="auto"/>
      </w:pPr>
      <w:r>
        <w:separator/>
      </w:r>
    </w:p>
  </w:endnote>
  <w:endnote w:type="continuationSeparator" w:id="0">
    <w:p w:rsidR="006E5D87" w:rsidRDefault="006E5D87" w:rsidP="002E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51" w:rsidRDefault="008141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D87" w:rsidRDefault="006E5D87" w:rsidP="006E5D87">
    <w:pPr>
      <w:pStyle w:val="Footer"/>
      <w:rPr>
        <w:noProof/>
        <w:lang w:eastAsia="en-AU"/>
      </w:rPr>
    </w:pPr>
    <w:r>
      <w:rPr>
        <w:noProof/>
        <w:lang w:eastAsia="en-AU"/>
      </w:rPr>
      <w:drawing>
        <wp:inline distT="0" distB="0" distL="0" distR="0">
          <wp:extent cx="2000885" cy="327660"/>
          <wp:effectExtent l="0" t="0" r="0" b="0"/>
          <wp:docPr id="23" name="Picture 23" title="Holman Webb Lawy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bwMode="auto">
                  <a:xfrm>
                    <a:off x="0" y="0"/>
                    <a:ext cx="2000885" cy="327660"/>
                  </a:xfrm>
                  <a:prstGeom prst="rect">
                    <a:avLst/>
                  </a:prstGeom>
                  <a:noFill/>
                  <a:ln>
                    <a:noFill/>
                  </a:ln>
                </pic:spPr>
              </pic:pic>
            </a:graphicData>
          </a:graphic>
        </wp:inline>
      </w:drawing>
    </w:r>
    <w:r>
      <w:rPr>
        <w:noProof/>
        <w:lang w:eastAsia="en-AU"/>
      </w:rPr>
      <w:tab/>
    </w:r>
    <w:r>
      <w:rPr>
        <w:noProof/>
        <w:lang w:eastAsia="en-AU"/>
      </w:rPr>
      <w:tab/>
      <w:t>`</w:t>
    </w:r>
    <w:r>
      <w:rPr>
        <w:noProof/>
        <w:lang w:eastAsia="en-AU"/>
      </w:rPr>
      <w:drawing>
        <wp:inline distT="0" distB="0" distL="0" distR="0">
          <wp:extent cx="1852136" cy="648335"/>
          <wp:effectExtent l="0" t="0" r="0" b="0"/>
          <wp:docPr id="24" name="Picture 24"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DS_New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111" cy="667929"/>
                  </a:xfrm>
                  <a:prstGeom prst="rect">
                    <a:avLst/>
                  </a:prstGeom>
                </pic:spPr>
              </pic:pic>
            </a:graphicData>
          </a:graphic>
        </wp:inline>
      </w:drawing>
    </w:r>
  </w:p>
  <w:p w:rsidR="006E5D87" w:rsidRDefault="006E5D87" w:rsidP="006E5D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51" w:rsidRDefault="008141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D87" w:rsidRDefault="006E5D87" w:rsidP="002E3A31">
      <w:pPr>
        <w:spacing w:after="0" w:line="240" w:lineRule="auto"/>
      </w:pPr>
      <w:r>
        <w:separator/>
      </w:r>
    </w:p>
  </w:footnote>
  <w:footnote w:type="continuationSeparator" w:id="0">
    <w:p w:rsidR="006E5D87" w:rsidRDefault="006E5D87" w:rsidP="002E3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51" w:rsidRDefault="008141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51" w:rsidRPr="00122177" w:rsidRDefault="00814151" w:rsidP="00814151">
    <w:pPr>
      <w:pStyle w:val="Header"/>
      <w:jc w:val="center"/>
      <w:rPr>
        <w:rFonts w:ascii="Arial" w:hAnsi="Arial" w:cs="Arial"/>
        <w:noProof/>
        <w:sz w:val="48"/>
        <w:szCs w:val="48"/>
        <w:lang w:eastAsia="en-AU"/>
      </w:rPr>
    </w:pPr>
  </w:p>
  <w:p w:rsidR="00814151" w:rsidRDefault="00814151" w:rsidP="00814151">
    <w:pPr>
      <w:pStyle w:val="Header"/>
      <w:jc w:val="center"/>
      <w:rPr>
        <w:rFonts w:ascii="Arial" w:hAnsi="Arial" w:cs="Arial"/>
        <w:sz w:val="48"/>
        <w:szCs w:val="48"/>
        <w:lang w:eastAsia="en-AU"/>
      </w:rPr>
    </w:pPr>
    <w:r w:rsidRPr="00122177">
      <w:rPr>
        <w:rFonts w:ascii="Arial" w:hAnsi="Arial" w:cs="Arial"/>
        <w:sz w:val="48"/>
        <w:szCs w:val="48"/>
        <w:lang w:eastAsia="en-AU"/>
      </w:rPr>
      <w:t>Royal Commission into violence, abuse, neglect, and exploitation of people with disability</w:t>
    </w:r>
  </w:p>
  <w:p w:rsidR="007274FE" w:rsidRDefault="007274FE" w:rsidP="00E20222">
    <w:pPr>
      <w:pStyle w:val="Header"/>
      <w:jc w:val="center"/>
      <w:rPr>
        <w:rFonts w:ascii="Arial" w:hAnsi="Arial" w:cs="Arial"/>
        <w:sz w:val="48"/>
        <w:szCs w:val="48"/>
        <w:lang w:eastAsia="en-AU"/>
      </w:rPr>
    </w:pPr>
    <w:bookmarkStart w:id="0" w:name="_GoBack"/>
    <w:bookmarkEnd w:id="0"/>
  </w:p>
  <w:p w:rsidR="006E5D87" w:rsidRPr="00E20222" w:rsidRDefault="006E5D87" w:rsidP="00E20222">
    <w:pPr>
      <w:pStyle w:val="Header"/>
      <w:jc w:val="center"/>
      <w:rPr>
        <w:rFonts w:ascii="Arial" w:hAnsi="Arial" w:cs="Arial"/>
        <w:sz w:val="28"/>
        <w:szCs w:val="28"/>
        <w:lang w:eastAsia="en-AU"/>
      </w:rPr>
    </w:pPr>
    <w:r>
      <w:rPr>
        <w:rFonts w:ascii="Arial" w:hAnsi="Arial" w:cs="Arial"/>
        <w:sz w:val="28"/>
        <w:szCs w:val="28"/>
        <w:lang w:eastAsia="en-AU"/>
      </w:rPr>
      <w:t>Information Sheet 1 | July</w:t>
    </w:r>
    <w:r w:rsidRPr="00E20222">
      <w:rPr>
        <w:rFonts w:ascii="Arial" w:hAnsi="Arial" w:cs="Arial"/>
        <w:sz w:val="28"/>
        <w:szCs w:val="28"/>
        <w:lang w:eastAsia="en-AU"/>
      </w:rPr>
      <w:t xml:space="preserve"> 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51" w:rsidRDefault="008141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96B"/>
    <w:multiLevelType w:val="hybridMultilevel"/>
    <w:tmpl w:val="069C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31E58"/>
    <w:multiLevelType w:val="hybridMultilevel"/>
    <w:tmpl w:val="AC608F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5627EC4"/>
    <w:multiLevelType w:val="hybridMultilevel"/>
    <w:tmpl w:val="D592C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C54D6C"/>
    <w:multiLevelType w:val="hybridMultilevel"/>
    <w:tmpl w:val="ED6CE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C434B"/>
    <w:multiLevelType w:val="hybridMultilevel"/>
    <w:tmpl w:val="E8302E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22B0368"/>
    <w:multiLevelType w:val="hybridMultilevel"/>
    <w:tmpl w:val="B3206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7A68C6"/>
    <w:multiLevelType w:val="hybridMultilevel"/>
    <w:tmpl w:val="BD783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A7164A"/>
    <w:multiLevelType w:val="hybridMultilevel"/>
    <w:tmpl w:val="34B0A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3F1013"/>
    <w:multiLevelType w:val="hybridMultilevel"/>
    <w:tmpl w:val="D4E83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7A78C4"/>
    <w:multiLevelType w:val="hybridMultilevel"/>
    <w:tmpl w:val="EE40B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2D783F"/>
    <w:multiLevelType w:val="hybridMultilevel"/>
    <w:tmpl w:val="C9CAF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336482"/>
    <w:multiLevelType w:val="hybridMultilevel"/>
    <w:tmpl w:val="35A0B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4552F1C"/>
    <w:multiLevelType w:val="hybridMultilevel"/>
    <w:tmpl w:val="3CCA69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C996026"/>
    <w:multiLevelType w:val="hybridMultilevel"/>
    <w:tmpl w:val="C6461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7D02E4"/>
    <w:multiLevelType w:val="hybridMultilevel"/>
    <w:tmpl w:val="CD8E3E8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5" w15:restartNumberingAfterBreak="0">
    <w:nsid w:val="55992862"/>
    <w:multiLevelType w:val="hybridMultilevel"/>
    <w:tmpl w:val="EF5AE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DA4651"/>
    <w:multiLevelType w:val="hybridMultilevel"/>
    <w:tmpl w:val="B82A93F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9BB4ECF"/>
    <w:multiLevelType w:val="hybridMultilevel"/>
    <w:tmpl w:val="51B28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9"/>
  </w:num>
  <w:num w:numId="6">
    <w:abstractNumId w:val="7"/>
  </w:num>
  <w:num w:numId="7">
    <w:abstractNumId w:val="14"/>
  </w:num>
  <w:num w:numId="8">
    <w:abstractNumId w:val="6"/>
  </w:num>
  <w:num w:numId="9">
    <w:abstractNumId w:val="8"/>
  </w:num>
  <w:num w:numId="10">
    <w:abstractNumId w:val="10"/>
  </w:num>
  <w:num w:numId="11">
    <w:abstractNumId w:val="13"/>
  </w:num>
  <w:num w:numId="12">
    <w:abstractNumId w:val="17"/>
  </w:num>
  <w:num w:numId="13">
    <w:abstractNumId w:val="5"/>
  </w:num>
  <w:num w:numId="14">
    <w:abstractNumId w:val="2"/>
  </w:num>
  <w:num w:numId="15">
    <w:abstractNumId w:val="3"/>
  </w:num>
  <w:num w:numId="16">
    <w:abstractNumId w:val="0"/>
  </w:num>
  <w:num w:numId="17">
    <w:abstractNumId w:val="1"/>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1"/>
    <w:rsid w:val="000A655F"/>
    <w:rsid w:val="000C5B0B"/>
    <w:rsid w:val="000D67BB"/>
    <w:rsid w:val="00120BA4"/>
    <w:rsid w:val="00122177"/>
    <w:rsid w:val="00197C13"/>
    <w:rsid w:val="001D3142"/>
    <w:rsid w:val="00214532"/>
    <w:rsid w:val="00267E70"/>
    <w:rsid w:val="002D2B20"/>
    <w:rsid w:val="002E3A31"/>
    <w:rsid w:val="00367847"/>
    <w:rsid w:val="00386921"/>
    <w:rsid w:val="003E7A0E"/>
    <w:rsid w:val="00482848"/>
    <w:rsid w:val="00505843"/>
    <w:rsid w:val="005170FE"/>
    <w:rsid w:val="005B2B08"/>
    <w:rsid w:val="005C755D"/>
    <w:rsid w:val="005F2626"/>
    <w:rsid w:val="006216BA"/>
    <w:rsid w:val="006E5994"/>
    <w:rsid w:val="006E5D87"/>
    <w:rsid w:val="007274FE"/>
    <w:rsid w:val="007279A2"/>
    <w:rsid w:val="00727DFE"/>
    <w:rsid w:val="007922A9"/>
    <w:rsid w:val="007F3AA5"/>
    <w:rsid w:val="00814151"/>
    <w:rsid w:val="008C694F"/>
    <w:rsid w:val="00914E15"/>
    <w:rsid w:val="0098059B"/>
    <w:rsid w:val="009A0793"/>
    <w:rsid w:val="009B641B"/>
    <w:rsid w:val="009F35FC"/>
    <w:rsid w:val="00AC175A"/>
    <w:rsid w:val="00AE3D48"/>
    <w:rsid w:val="00AF5FB9"/>
    <w:rsid w:val="00B64452"/>
    <w:rsid w:val="00BC720C"/>
    <w:rsid w:val="00C86085"/>
    <w:rsid w:val="00C928D2"/>
    <w:rsid w:val="00CB71F3"/>
    <w:rsid w:val="00D516A0"/>
    <w:rsid w:val="00D70522"/>
    <w:rsid w:val="00DA761D"/>
    <w:rsid w:val="00DC2839"/>
    <w:rsid w:val="00DD3937"/>
    <w:rsid w:val="00DF75C4"/>
    <w:rsid w:val="00E014AD"/>
    <w:rsid w:val="00E20222"/>
    <w:rsid w:val="00E76A7A"/>
    <w:rsid w:val="00E93722"/>
    <w:rsid w:val="00ED7C20"/>
    <w:rsid w:val="00F610AC"/>
    <w:rsid w:val="00FA2CB0"/>
    <w:rsid w:val="00FC4633"/>
    <w:rsid w:val="00FD5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F38E9B"/>
  <w15:chartTrackingRefBased/>
  <w15:docId w15:val="{7C581CC8-C0E5-4752-8DF7-1F572A46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3D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3D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02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A31"/>
  </w:style>
  <w:style w:type="paragraph" w:styleId="Footer">
    <w:name w:val="footer"/>
    <w:basedOn w:val="Normal"/>
    <w:link w:val="FooterChar"/>
    <w:uiPriority w:val="99"/>
    <w:unhideWhenUsed/>
    <w:rsid w:val="002E3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A31"/>
  </w:style>
  <w:style w:type="paragraph" w:styleId="ListParagraph">
    <w:name w:val="List Paragraph"/>
    <w:basedOn w:val="Normal"/>
    <w:uiPriority w:val="34"/>
    <w:qFormat/>
    <w:rsid w:val="00505843"/>
    <w:pPr>
      <w:spacing w:after="0" w:line="240" w:lineRule="auto"/>
      <w:ind w:left="720"/>
    </w:pPr>
    <w:rPr>
      <w:rFonts w:ascii="Calibri" w:hAnsi="Calibri" w:cs="Calibri"/>
    </w:rPr>
  </w:style>
  <w:style w:type="paragraph" w:styleId="NormalWeb">
    <w:name w:val="Normal (Web)"/>
    <w:basedOn w:val="Normal"/>
    <w:uiPriority w:val="99"/>
    <w:unhideWhenUsed/>
    <w:rsid w:val="002D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D2B20"/>
    <w:rPr>
      <w:color w:val="0000FF"/>
      <w:u w:val="single"/>
    </w:rPr>
  </w:style>
  <w:style w:type="character" w:customStyle="1" w:styleId="Heading1Char">
    <w:name w:val="Heading 1 Char"/>
    <w:basedOn w:val="DefaultParagraphFont"/>
    <w:link w:val="Heading1"/>
    <w:uiPriority w:val="9"/>
    <w:rsid w:val="00AE3D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3D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20222"/>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E202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0222"/>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D6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955">
      <w:bodyDiv w:val="1"/>
      <w:marLeft w:val="0"/>
      <w:marRight w:val="0"/>
      <w:marTop w:val="0"/>
      <w:marBottom w:val="0"/>
      <w:divBdr>
        <w:top w:val="none" w:sz="0" w:space="0" w:color="auto"/>
        <w:left w:val="none" w:sz="0" w:space="0" w:color="auto"/>
        <w:bottom w:val="none" w:sz="0" w:space="0" w:color="auto"/>
        <w:right w:val="none" w:sz="0" w:space="0" w:color="auto"/>
      </w:divBdr>
    </w:div>
    <w:div w:id="158736728">
      <w:bodyDiv w:val="1"/>
      <w:marLeft w:val="0"/>
      <w:marRight w:val="0"/>
      <w:marTop w:val="0"/>
      <w:marBottom w:val="0"/>
      <w:divBdr>
        <w:top w:val="none" w:sz="0" w:space="0" w:color="auto"/>
        <w:left w:val="none" w:sz="0" w:space="0" w:color="auto"/>
        <w:bottom w:val="none" w:sz="0" w:space="0" w:color="auto"/>
        <w:right w:val="none" w:sz="0" w:space="0" w:color="auto"/>
      </w:divBdr>
    </w:div>
    <w:div w:id="309946703">
      <w:bodyDiv w:val="1"/>
      <w:marLeft w:val="0"/>
      <w:marRight w:val="0"/>
      <w:marTop w:val="0"/>
      <w:marBottom w:val="0"/>
      <w:divBdr>
        <w:top w:val="none" w:sz="0" w:space="0" w:color="auto"/>
        <w:left w:val="none" w:sz="0" w:space="0" w:color="auto"/>
        <w:bottom w:val="none" w:sz="0" w:space="0" w:color="auto"/>
        <w:right w:val="none" w:sz="0" w:space="0" w:color="auto"/>
      </w:divBdr>
    </w:div>
    <w:div w:id="421529099">
      <w:bodyDiv w:val="1"/>
      <w:marLeft w:val="0"/>
      <w:marRight w:val="0"/>
      <w:marTop w:val="0"/>
      <w:marBottom w:val="0"/>
      <w:divBdr>
        <w:top w:val="none" w:sz="0" w:space="0" w:color="auto"/>
        <w:left w:val="none" w:sz="0" w:space="0" w:color="auto"/>
        <w:bottom w:val="none" w:sz="0" w:space="0" w:color="auto"/>
        <w:right w:val="none" w:sz="0" w:space="0" w:color="auto"/>
      </w:divBdr>
    </w:div>
    <w:div w:id="446051388">
      <w:bodyDiv w:val="1"/>
      <w:marLeft w:val="0"/>
      <w:marRight w:val="0"/>
      <w:marTop w:val="0"/>
      <w:marBottom w:val="0"/>
      <w:divBdr>
        <w:top w:val="none" w:sz="0" w:space="0" w:color="auto"/>
        <w:left w:val="none" w:sz="0" w:space="0" w:color="auto"/>
        <w:bottom w:val="none" w:sz="0" w:space="0" w:color="auto"/>
        <w:right w:val="none" w:sz="0" w:space="0" w:color="auto"/>
      </w:divBdr>
    </w:div>
    <w:div w:id="619188265">
      <w:bodyDiv w:val="1"/>
      <w:marLeft w:val="0"/>
      <w:marRight w:val="0"/>
      <w:marTop w:val="0"/>
      <w:marBottom w:val="0"/>
      <w:divBdr>
        <w:top w:val="none" w:sz="0" w:space="0" w:color="auto"/>
        <w:left w:val="none" w:sz="0" w:space="0" w:color="auto"/>
        <w:bottom w:val="none" w:sz="0" w:space="0" w:color="auto"/>
        <w:right w:val="none" w:sz="0" w:space="0" w:color="auto"/>
      </w:divBdr>
    </w:div>
    <w:div w:id="1193304323">
      <w:bodyDiv w:val="1"/>
      <w:marLeft w:val="0"/>
      <w:marRight w:val="0"/>
      <w:marTop w:val="0"/>
      <w:marBottom w:val="0"/>
      <w:divBdr>
        <w:top w:val="none" w:sz="0" w:space="0" w:color="auto"/>
        <w:left w:val="none" w:sz="0" w:space="0" w:color="auto"/>
        <w:bottom w:val="none" w:sz="0" w:space="0" w:color="auto"/>
        <w:right w:val="none" w:sz="0" w:space="0" w:color="auto"/>
      </w:divBdr>
    </w:div>
    <w:div w:id="20994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ds.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AB68A-E4C2-4DE4-A1B6-841E8675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DD573186.dotm</Template>
  <TotalTime>11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Glenister</dc:creator>
  <cp:keywords/>
  <dc:description/>
  <cp:lastModifiedBy>Alisa Maxted</cp:lastModifiedBy>
  <cp:revision>6</cp:revision>
  <cp:lastPrinted>2019-07-25T00:01:00Z</cp:lastPrinted>
  <dcterms:created xsi:type="dcterms:W3CDTF">2019-07-08T06:11:00Z</dcterms:created>
  <dcterms:modified xsi:type="dcterms:W3CDTF">2019-07-25T00:01:00Z</dcterms:modified>
</cp:coreProperties>
</file>